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72" w:rsidRPr="0083072D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b/>
          <w:sz w:val="20"/>
          <w:szCs w:val="20"/>
          <w:lang w:val="en-GB"/>
        </w:rPr>
      </w:pPr>
      <w:r w:rsidRPr="0083072D">
        <w:rPr>
          <w:rFonts w:ascii="GHEA Grapalat" w:hAnsi="GHEA Grapalat" w:cs="Sylfaen"/>
          <w:b/>
          <w:bCs/>
          <w:sz w:val="20"/>
          <w:szCs w:val="20"/>
          <w:lang w:val="en-US"/>
        </w:rPr>
        <w:t>ԱՄՓՈՓԱԹԵՐԹ</w:t>
      </w:r>
    </w:p>
    <w:p w:rsidR="00E51CF8" w:rsidRPr="0083072D" w:rsidRDefault="00350104" w:rsidP="00A45B08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</w:pPr>
      <w:r w:rsidRPr="0083072D">
        <w:rPr>
          <w:rFonts w:ascii="GHEA Grapalat" w:hAnsi="GHEA Grapalat" w:cs="Tahoma"/>
          <w:caps/>
          <w:spacing w:val="-8"/>
          <w:sz w:val="20"/>
          <w:szCs w:val="20"/>
          <w:lang w:val="af-ZA"/>
        </w:rPr>
        <w:t>«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«Հայաստանի</w:t>
      </w:r>
      <w:r w:rsidR="00E51CF8" w:rsidRPr="0083072D">
        <w:rPr>
          <w:rFonts w:ascii="Courier New" w:eastAsia="GHEA Grapalat" w:hAnsi="Courier New" w:cs="Courier New"/>
          <w:b/>
          <w:color w:val="000000" w:themeColor="text1"/>
          <w:sz w:val="20"/>
          <w:szCs w:val="20"/>
          <w:lang w:val="hy-AM"/>
        </w:rPr>
        <w:t> 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Հանրապետության</w:t>
      </w:r>
      <w:r w:rsidR="00E51CF8" w:rsidRPr="0083072D">
        <w:rPr>
          <w:rFonts w:ascii="Courier New" w:eastAsia="GHEA Grapalat" w:hAnsi="Courier New" w:cs="Courier New"/>
          <w:b/>
          <w:color w:val="000000" w:themeColor="text1"/>
          <w:sz w:val="20"/>
          <w:szCs w:val="20"/>
          <w:lang w:val="hy-AM"/>
        </w:rPr>
        <w:t> 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Կոտայքի մարզի</w:t>
      </w:r>
      <w:r w:rsidR="00E51CF8" w:rsidRPr="0083072D">
        <w:rPr>
          <w:rFonts w:ascii="Courier New" w:eastAsia="GHEA Grapalat" w:hAnsi="Courier New" w:cs="Courier New"/>
          <w:b/>
          <w:color w:val="000000" w:themeColor="text1"/>
          <w:sz w:val="20"/>
          <w:szCs w:val="20"/>
          <w:lang w:val="hy-AM"/>
        </w:rPr>
        <w:t> </w:t>
      </w:r>
      <w:r w:rsidR="008E106E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Ծաղկաձոր 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համայնքի տարածական պլանավորման փաստաթղթերի նախագիծը հաստատելու և ավագանու մի շարք որոշումներ ուժը կորցրած ճանաչելու մասին» </w:t>
      </w:r>
      <w:r w:rsidR="008E106E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Ծաղկաձոր 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համայնքի ավագանու որոշման նախագծի վերաբերյալ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en-US"/>
        </w:rPr>
        <w:t xml:space="preserve"> 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առաջարկությունների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EF69B5" w:rsidRPr="0083072D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EF69B5" w:rsidRPr="0083072D" w:rsidRDefault="00166114" w:rsidP="00A45B0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 w:colFirst="1" w:colLast="1"/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="00E51CF8" w:rsidRPr="0083072D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8F61E7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06</w:t>
            </w:r>
            <w:r w:rsidR="000E4BFA"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օգոստոսի</w:t>
            </w:r>
            <w:r w:rsidR="005C02B5"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en-US"/>
              </w:rPr>
              <w:t xml:space="preserve"> 2024</w:t>
            </w:r>
            <w:r w:rsidR="00F241CB"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թ.</w:t>
            </w:r>
          </w:p>
          <w:p w:rsidR="00EF69B5" w:rsidRPr="008F61E7" w:rsidRDefault="00F241CB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="001E5769" w:rsidRPr="008F61E7">
              <w:rPr>
                <w:rFonts w:ascii="GHEA Grapalat" w:eastAsia="GHEA Grapalat" w:hAnsi="GHEA Grapalat" w:cs="GHEA Grapalat"/>
                <w:color w:val="FF0000"/>
                <w:sz w:val="20"/>
                <w:szCs w:val="20"/>
                <w:lang w:val="hy-AM" w:eastAsia="en-US"/>
              </w:rPr>
              <w:t>N 06/27.2/30895-2024</w:t>
            </w:r>
          </w:p>
        </w:tc>
      </w:tr>
      <w:tr w:rsidR="00F241CB" w:rsidRPr="0083072D" w:rsidTr="001E5769">
        <w:trPr>
          <w:trHeight w:val="367"/>
        </w:trPr>
        <w:tc>
          <w:tcPr>
            <w:tcW w:w="12049" w:type="dxa"/>
            <w:vMerge/>
            <w:shd w:val="clear" w:color="auto" w:fill="auto"/>
          </w:tcPr>
          <w:p w:rsidR="00F241CB" w:rsidRPr="0083072D" w:rsidRDefault="00F241CB" w:rsidP="00A45B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8F61E7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Մուտք՝ 06</w:t>
            </w: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օգոստոսի</w:t>
            </w: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en-US"/>
              </w:rPr>
              <w:t xml:space="preserve"> 2024</w:t>
            </w: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թ.</w:t>
            </w:r>
          </w:p>
          <w:p w:rsidR="00F241CB" w:rsidRPr="008F61E7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8F61E7"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  <w:t>Պ-1750</w:t>
            </w:r>
          </w:p>
        </w:tc>
      </w:tr>
      <w:bookmarkEnd w:id="0"/>
      <w:tr w:rsidR="00F17405" w:rsidRPr="008E106E" w:rsidTr="0083072D">
        <w:trPr>
          <w:trHeight w:val="1967"/>
        </w:trPr>
        <w:tc>
          <w:tcPr>
            <w:tcW w:w="12078" w:type="dxa"/>
            <w:gridSpan w:val="2"/>
            <w:shd w:val="clear" w:color="auto" w:fill="auto"/>
          </w:tcPr>
          <w:p w:rsidR="001E5769" w:rsidRPr="0083072D" w:rsidRDefault="001E5769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«Հայաստանի</w:t>
            </w:r>
            <w:r w:rsidRPr="0083072D">
              <w:rPr>
                <w:rFonts w:ascii="Courier New" w:eastAsia="GHEA Grapalat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Հանրապետության</w:t>
            </w:r>
            <w:r w:rsidRPr="0083072D">
              <w:rPr>
                <w:rFonts w:ascii="Courier New" w:eastAsia="GHEA Grapalat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Կոտայքի մարզի</w:t>
            </w:r>
            <w:r w:rsidRPr="0083072D">
              <w:rPr>
                <w:rFonts w:ascii="Courier New" w:eastAsia="GHEA Grapalat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="008E106E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Ծաղկաձոր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համայնքի տարածական պլանավորման փաստաթղթերի նախագիծը հաստատելու և ավագանու մի շարք որոշումներ ուժը կորցրած ճանաչելու մասին»</w:t>
            </w:r>
            <w:r w:rsidR="008E106E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Ծաղկաձոր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համայնքի ավագանու որոշման նախագծի (այսուհետ՝ Նախագիծ) վերաբերյալ </w:t>
            </w: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հայտնում ենք հետևյալը.</w:t>
            </w:r>
          </w:p>
          <w:p w:rsidR="00802DBC" w:rsidRPr="0083072D" w:rsidRDefault="001E5769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Նախագծի 4-րդ կետով նախատեսվում է ուժը կորցրած ճանաչել մի շարք համայնքների ավագանու անհատական որոշումներ, այն դեպում, երբ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«Նորմատիվ իրավական ակտերի մասին» օրենքի 36-րդ հոդվածի 5-րդ մասի համաձայն՝ </w:t>
            </w:r>
            <w:r w:rsidRPr="0083072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Նորմատիվ իրավական ակտի գործողության դադարեցումը այն ընդունած մարմինը կամ նրա իրավահաջորդը կամ համապատասխան լիազորություններով օժտված մարմինը կատարում է </w:t>
            </w:r>
            <w:r w:rsidRPr="0083072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նույն տեսակի կամ բնույթի նորմատիվ իրավական ակտով</w:t>
            </w:r>
            <w:r w:rsidRPr="0083072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:(…), </w:t>
            </w:r>
            <w:r w:rsidRPr="0083072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ուստի</w:t>
            </w: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հաշվի առնելով ներկայացված Նախագծի բնույթը, գտնում ենք, որ Նախագծի 4-րդ կետով առաջարկվող կարգավորումները վերանայման կարիք ունեն:</w:t>
            </w:r>
          </w:p>
        </w:tc>
        <w:tc>
          <w:tcPr>
            <w:tcW w:w="3798" w:type="dxa"/>
            <w:shd w:val="clear" w:color="auto" w:fill="auto"/>
          </w:tcPr>
          <w:p w:rsidR="004A072E" w:rsidRPr="0083072D" w:rsidRDefault="004A072E" w:rsidP="00641DEE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5B7A4E" w:rsidRPr="0083072D" w:rsidRDefault="005B7A4E" w:rsidP="005B7A4E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E451AC" w:rsidRPr="0083072D" w:rsidRDefault="00A45B08" w:rsidP="00A45B08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Ընդունվել է</w:t>
            </w:r>
            <w:r w:rsidR="0083072D" w:rsidRPr="0083072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՝ </w:t>
            </w:r>
            <w:r w:rsidR="0083072D"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Նախագծի վերնագիրը և տեքստը խմբագրվել է։</w:t>
            </w:r>
          </w:p>
          <w:p w:rsidR="00E451AC" w:rsidRPr="0083072D" w:rsidRDefault="00E451AC" w:rsidP="005C02B5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350104" w:rsidRPr="0083072D" w:rsidRDefault="00350104" w:rsidP="00947EE6">
            <w:pPr>
              <w:tabs>
                <w:tab w:val="center" w:pos="3494"/>
                <w:tab w:val="left" w:pos="4694"/>
              </w:tabs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A45B08" w:rsidRPr="0083072D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Միևնույն ժամանակ Ձեր կողմից գրությամբ բարձրացված հարցի (ՀՀ կառավարության 09.08.2007թ. N 1036-Ն որոշումն ուժը կորցրած ճանաչելու վերաբերյալ) կապակցությամբ հայտնում ենք հետևյալը.</w:t>
            </w:r>
          </w:p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«Քաղաքաշինության մասին» օրենքի 14.3 հոդվածի 1-ին մասի համաձայն՝ 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Համայնքի վարչական սահմաններում քաղաքաշինական գործունեությունը կանոնակարգվում է սույն օրենքով և այլ օրենքներով պարտադիր մշակման ենթակա քաղաքաշինական ծրագրային (տարածական պլանավորման) երկու փաստաթղթերով` համայնքի (բնակավայրի)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գլխավոր հատակագծով և քաղաքաշինական գոտիավորման նախագծով,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նույն հոդվածի 2-րդ մասի համաձայն՝ 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Համայնքի (բնակավայրի) գլխավոր հատակագիծը (այսուհետ` գլխավոր հատակագիծ) համայնքի տարածական զարգացման հիմնադրույթներն ամրագրող ռազմավարական բնույթի փաստաթուղթ է, որը հիմնական (բազային) գոտիավորմամբ սահմանում է համայնքի վարչական սահմաններում քաղաքաշինական գործունեության օբյեկտ հանդիսացող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>հողերի նպատակային և գործառնական նշանակությունը,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>դրանց օգտագործման ռեժիմներն ու պարտադիր պահանջները,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 ինչպես նաև տարածքների կառուցապատման առաջնահերթ, միջնաժամկետ և հեռանկարային փուլերը` քաղաքաշինական նպատակներով հողօգտագործումը կանոնակարգելու և արդյունավետ կառավարումն ապահովելու նպատակով:</w:t>
            </w:r>
          </w:p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Հողային օրենսգրքի </w:t>
            </w: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57-րդ հոդվածի 2-րդ մասի համաձայն՝</w:t>
            </w:r>
            <w:r w:rsidRPr="0083072D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 xml:space="preserve">Տեղական ինքնակառավարման մարմինները հողամասերը տրամադրում են սույն օրենսգրքի 3-րդ հոդվածով սահմանված կարգով հաստատված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գլխավոր հատակագծերին, քաղաքաշինական գոտիավորման նախագծերին ու հողերի օգտագործման սխեմաներին համապատասխան: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ab/>
            </w:r>
          </w:p>
          <w:p w:rsidR="00A45B08" w:rsidRPr="0083072D" w:rsidRDefault="00A45B08" w:rsidP="008E106E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Վերոնշյալ օրենսդրական դրույթների ուսումնասիրությունից պարզ է դառնում, որ նոր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տարածական պլանավորման փաստաթղթերը՝ </w:t>
            </w:r>
            <w:r w:rsidR="008E106E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Ծաղկաձոր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E106E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համայնքի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E106E">
              <w:rPr>
                <w:rFonts w:ascii="GHEA Grapalat" w:eastAsia="GHEA Grapalat" w:hAnsi="GHEA Grapalat" w:cs="GHEA Grapalat"/>
                <w:color w:val="FF0000"/>
                <w:sz w:val="20"/>
                <w:szCs w:val="20"/>
                <w:lang w:val="hy-AM"/>
              </w:rPr>
              <w:t xml:space="preserve">(բնակավայրի) </w:t>
            </w:r>
            <w:r w:rsidRPr="0083072D">
              <w:rPr>
                <w:rFonts w:ascii="GHEA Grapalat" w:eastAsia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գլխավոր հատակագիծը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ուժի մեջ մտնելուց հետո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հատակագիծը (ՀՀ կառավարության 2007 թվականի օգոստոսի 9-ի N 1036-Ն որոշմամբ)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ուժը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կորցրած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ճանաչելու մասին որոշում չընդունելու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դեպքում իրավական տեղեկատվական համակարգում կգործի միևնույն կարգավորման առարկա ունեցող երկու իրավական ակտ, </w:t>
            </w:r>
            <w:r w:rsidRPr="0083072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որպիսի պայմաններում 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>իրավակիրառ պրակտիկայում կարող են առաջանալ տարաբնույթ հակասություններ, կապված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հողերի տրամադրման, դրանց նպատակային և գործառնական նշանակությունը որոշելու, կամ դրանց օգտագործման ռեժիմների հետ:</w:t>
            </w:r>
          </w:p>
        </w:tc>
        <w:tc>
          <w:tcPr>
            <w:tcW w:w="3798" w:type="dxa"/>
            <w:shd w:val="clear" w:color="auto" w:fill="auto"/>
          </w:tcPr>
          <w:p w:rsidR="00A45B08" w:rsidRPr="0083072D" w:rsidRDefault="00A45B08" w:rsidP="00641DEE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A45B08" w:rsidRPr="0083072D" w:rsidRDefault="00A45B08" w:rsidP="00A45B08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Ընդունվել է ի գիտություն</w:t>
            </w:r>
          </w:p>
        </w:tc>
      </w:tr>
    </w:tbl>
    <w:p w:rsidR="000E4BFA" w:rsidRPr="0083072D" w:rsidRDefault="000E4BFA" w:rsidP="000E4BFA">
      <w:pPr>
        <w:spacing w:after="0" w:line="240" w:lineRule="auto"/>
        <w:ind w:right="-185"/>
        <w:jc w:val="center"/>
        <w:rPr>
          <w:rFonts w:ascii="GHEA Grapalat" w:hAnsi="GHEA Grapalat"/>
          <w:sz w:val="20"/>
          <w:szCs w:val="20"/>
          <w:lang w:val="af-ZA"/>
        </w:rPr>
      </w:pPr>
    </w:p>
    <w:p w:rsidR="00F17405" w:rsidRPr="0083072D" w:rsidRDefault="00F17405" w:rsidP="0031777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sectPr w:rsidR="00F17405" w:rsidRPr="0083072D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69" w:rsidRDefault="00AA7369" w:rsidP="00E03B9A">
      <w:pPr>
        <w:spacing w:after="0" w:line="240" w:lineRule="auto"/>
      </w:pPr>
      <w:r>
        <w:separator/>
      </w:r>
    </w:p>
  </w:endnote>
  <w:endnote w:type="continuationSeparator" w:id="0">
    <w:p w:rsidR="00AA7369" w:rsidRDefault="00AA7369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69" w:rsidRDefault="00AA7369" w:rsidP="00E03B9A">
      <w:pPr>
        <w:spacing w:after="0" w:line="240" w:lineRule="auto"/>
      </w:pPr>
      <w:r>
        <w:separator/>
      </w:r>
    </w:p>
  </w:footnote>
  <w:footnote w:type="continuationSeparator" w:id="0">
    <w:p w:rsidR="00AA7369" w:rsidRDefault="00AA7369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79"/>
    <w:rsid w:val="00011770"/>
    <w:rsid w:val="0001663D"/>
    <w:rsid w:val="0002730D"/>
    <w:rsid w:val="0003166A"/>
    <w:rsid w:val="00031F3A"/>
    <w:rsid w:val="00034B79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756F"/>
    <w:rsid w:val="000F75AC"/>
    <w:rsid w:val="000F77D8"/>
    <w:rsid w:val="00106900"/>
    <w:rsid w:val="00110FAF"/>
    <w:rsid w:val="001122D3"/>
    <w:rsid w:val="001161A8"/>
    <w:rsid w:val="001251CA"/>
    <w:rsid w:val="001278E0"/>
    <w:rsid w:val="00131283"/>
    <w:rsid w:val="00133D88"/>
    <w:rsid w:val="00141BBC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36F1"/>
    <w:rsid w:val="002243CE"/>
    <w:rsid w:val="00245C4C"/>
    <w:rsid w:val="00247EB7"/>
    <w:rsid w:val="00253325"/>
    <w:rsid w:val="00254109"/>
    <w:rsid w:val="002619F2"/>
    <w:rsid w:val="002761A1"/>
    <w:rsid w:val="002813BC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64A3E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5002"/>
    <w:rsid w:val="004C5041"/>
    <w:rsid w:val="004D3879"/>
    <w:rsid w:val="004E14FD"/>
    <w:rsid w:val="004E2FF7"/>
    <w:rsid w:val="004E533F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9A1"/>
    <w:rsid w:val="005310E0"/>
    <w:rsid w:val="00531493"/>
    <w:rsid w:val="00532423"/>
    <w:rsid w:val="0053296F"/>
    <w:rsid w:val="00534F87"/>
    <w:rsid w:val="00535595"/>
    <w:rsid w:val="00535A3B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B0C69"/>
    <w:rsid w:val="005B6BAB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41DEE"/>
    <w:rsid w:val="00642E93"/>
    <w:rsid w:val="00643028"/>
    <w:rsid w:val="00643845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3F4F"/>
    <w:rsid w:val="007A0530"/>
    <w:rsid w:val="007A561D"/>
    <w:rsid w:val="007B4073"/>
    <w:rsid w:val="007C6B84"/>
    <w:rsid w:val="007D0B66"/>
    <w:rsid w:val="007D1CDA"/>
    <w:rsid w:val="007D69B8"/>
    <w:rsid w:val="007F0AF5"/>
    <w:rsid w:val="007F1F75"/>
    <w:rsid w:val="00800CE4"/>
    <w:rsid w:val="008028B6"/>
    <w:rsid w:val="00802DB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937F1"/>
    <w:rsid w:val="00894004"/>
    <w:rsid w:val="008A4116"/>
    <w:rsid w:val="008C4976"/>
    <w:rsid w:val="008C52BB"/>
    <w:rsid w:val="008D0F35"/>
    <w:rsid w:val="008D23D2"/>
    <w:rsid w:val="008D5FE5"/>
    <w:rsid w:val="008E106E"/>
    <w:rsid w:val="008E1255"/>
    <w:rsid w:val="008E6C5E"/>
    <w:rsid w:val="008F61E7"/>
    <w:rsid w:val="0090151B"/>
    <w:rsid w:val="00901651"/>
    <w:rsid w:val="00902FFE"/>
    <w:rsid w:val="00905192"/>
    <w:rsid w:val="009115B5"/>
    <w:rsid w:val="00920628"/>
    <w:rsid w:val="0092081B"/>
    <w:rsid w:val="00921026"/>
    <w:rsid w:val="00921711"/>
    <w:rsid w:val="00926AE6"/>
    <w:rsid w:val="00927C0E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925AF"/>
    <w:rsid w:val="00996FBB"/>
    <w:rsid w:val="009A2446"/>
    <w:rsid w:val="009B57B2"/>
    <w:rsid w:val="009C12B5"/>
    <w:rsid w:val="009C5438"/>
    <w:rsid w:val="009D329E"/>
    <w:rsid w:val="009E4846"/>
    <w:rsid w:val="009E6E50"/>
    <w:rsid w:val="009F1085"/>
    <w:rsid w:val="009F351A"/>
    <w:rsid w:val="009F3664"/>
    <w:rsid w:val="009F42DC"/>
    <w:rsid w:val="009F7F5B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6376"/>
    <w:rsid w:val="00A607EF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A7369"/>
    <w:rsid w:val="00AB0FB5"/>
    <w:rsid w:val="00AB201D"/>
    <w:rsid w:val="00AB5DFB"/>
    <w:rsid w:val="00AB79F9"/>
    <w:rsid w:val="00AC2FF8"/>
    <w:rsid w:val="00AD54CE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261B4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32D8"/>
    <w:rsid w:val="00C677B1"/>
    <w:rsid w:val="00C705B5"/>
    <w:rsid w:val="00C71EC0"/>
    <w:rsid w:val="00C7240F"/>
    <w:rsid w:val="00C76B53"/>
    <w:rsid w:val="00C912DF"/>
    <w:rsid w:val="00C95205"/>
    <w:rsid w:val="00CA16AD"/>
    <w:rsid w:val="00CB2882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D0EC2"/>
    <w:rsid w:val="00FD139F"/>
    <w:rsid w:val="00FD47ED"/>
    <w:rsid w:val="00FD760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0551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44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BB"/>
  </w:style>
  <w:style w:type="paragraph" w:styleId="a8">
    <w:name w:val="Balloon Text"/>
    <w:basedOn w:val="a"/>
    <w:link w:val="a9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a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b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E451A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451AC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6</cp:revision>
  <cp:lastPrinted>2021-03-24T04:56:00Z</cp:lastPrinted>
  <dcterms:created xsi:type="dcterms:W3CDTF">2024-08-14T06:36:00Z</dcterms:created>
  <dcterms:modified xsi:type="dcterms:W3CDTF">2024-08-28T08:47:00Z</dcterms:modified>
</cp:coreProperties>
</file>